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rFonts w:ascii="Calibri" w:hAnsi="Calibri"/>
          <w:b/>
          <w:b/>
          <w:sz w:val="32"/>
          <w:szCs w:val="32"/>
        </w:rPr>
      </w:pPr>
      <w:r>
        <w:rPr>
          <w:rFonts w:ascii="Calibri" w:hAnsi="Calibri"/>
          <w:b/>
          <w:sz w:val="32"/>
          <w:szCs w:val="32"/>
        </w:rPr>
        <w:t>PLANTILLA DE SINOPSIS</w:t>
      </w:r>
    </w:p>
    <w:p>
      <w:pPr>
        <w:pStyle w:val="Normal"/>
        <w:spacing w:before="120" w:after="0"/>
        <w:rPr/>
      </w:pPr>
      <w:r>
        <w:rPr>
          <w:b/>
          <w:i/>
          <w:u w:val="single"/>
        </w:rPr>
        <w:t>TÍTULO</w:t>
      </w:r>
    </w:p>
    <w:p>
      <w:pPr>
        <w:pStyle w:val="Normal"/>
        <w:spacing w:before="120" w:after="0"/>
        <w:jc w:val="both"/>
        <w:rPr/>
      </w:pPr>
      <w:r>
        <w:rPr/>
        <mc:AlternateContent>
          <mc:Choice Requires="wps">
            <w:drawing>
              <wp:anchor behindDoc="0" distT="0" distB="0" distL="0" distR="0" simplePos="0" locked="0" layoutInCell="0" allowOverlap="1" relativeHeight="4">
                <wp:simplePos x="0" y="0"/>
                <wp:positionH relativeFrom="column">
                  <wp:posOffset>-17780</wp:posOffset>
                </wp:positionH>
                <wp:positionV relativeFrom="paragraph">
                  <wp:posOffset>55880</wp:posOffset>
                </wp:positionV>
                <wp:extent cx="5943600" cy="270510"/>
                <wp:effectExtent l="0" t="0" r="22860" b="19050"/>
                <wp:wrapNone/>
                <wp:docPr id="1" name="Frame1"/>
                <a:graphic xmlns:a="http://schemas.openxmlformats.org/drawingml/2006/main">
                  <a:graphicData uri="http://schemas.microsoft.com/office/word/2010/wordprocessingShape">
                    <wps:wsp>
                      <wps:cNvSpPr/>
                      <wps:spPr>
                        <a:xfrm>
                          <a:off x="0" y="0"/>
                          <a:ext cx="5942880" cy="270000"/>
                        </a:xfrm>
                        <a:prstGeom prst="rect">
                          <a:avLst/>
                        </a:prstGeom>
                        <a:solidFill>
                          <a:srgbClr val="ffffff"/>
                        </a:solidFill>
                        <a:ln w="3175">
                          <a:solidFill>
                            <a:srgbClr val="4f81bd"/>
                          </a:solidFill>
                          <a:round/>
                        </a:ln>
                      </wps:spPr>
                      <wps:style>
                        <a:lnRef idx="0"/>
                        <a:fillRef idx="0"/>
                        <a:effectRef idx="0"/>
                        <a:fontRef idx="minor"/>
                      </wps:style>
                      <wps:txbx>
                        <w:txbxContent>
                          <w:p>
                            <w:pPr>
                              <w:pStyle w:val="FrameContents"/>
                              <w:jc w:val="center"/>
                              <w:rPr>
                                <w:rFonts w:ascii="Arial" w:hAnsi="Arial" w:cs="Arial"/>
                                <w:sz w:val="20"/>
                                <w:szCs w:val="20"/>
                                <w:highlight w:val="lightGray"/>
                                <w:lang w:val="pt-PT"/>
                              </w:rPr>
                            </w:pPr>
                            <w:r>
                              <w:rPr>
                                <w:rFonts w:cs="Arial" w:ascii="Arial" w:hAnsi="Arial"/>
                                <w:color w:val="000000"/>
                              </w:rPr>
                              <w:t>Simulaciones numéricas de alto rendimiento</w:t>
                            </w:r>
                            <w:r>
                              <w:rPr>
                                <w:rFonts w:cs="Arial" w:ascii="Arial" w:hAnsi="Arial"/>
                                <w:color w:val="000000"/>
                                <w:sz w:val="20"/>
                                <w:szCs w:val="20"/>
                                <w:lang w:val="pt-PT"/>
                              </w:rPr>
                              <w:t xml:space="preserve"> </w:t>
                            </w:r>
                            <w:r>
                              <w:rPr>
                                <w:rFonts w:cs="Arial" w:ascii="Arial" w:hAnsi="Arial"/>
                                <w:color w:val="000000"/>
                              </w:rPr>
                              <w:t xml:space="preserve">para fenómenos </w:t>
                            </w:r>
                            <w:bookmarkStart w:id="0" w:name="_GoBack"/>
                            <w:r>
                              <w:rPr>
                                <w:rFonts w:cs="Arial" w:ascii="Arial" w:hAnsi="Arial"/>
                                <w:color w:val="000000"/>
                              </w:rPr>
                              <w:t>multifísicos</w:t>
                            </w:r>
                            <w:bookmarkEnd w:id="0"/>
                            <w:r>
                              <w:rPr>
                                <w:rFonts w:cs="Arial" w:ascii="Arial" w:hAnsi="Arial"/>
                                <w:color w:val="000000"/>
                              </w:rPr>
                              <w:t xml:space="preserve"> de fusión</w:t>
                            </w:r>
                          </w:p>
                        </w:txbxContent>
                      </wps:txbx>
                      <wps:bodyPr>
                        <a:noAutofit/>
                      </wps:bodyPr>
                    </wps:wsp>
                  </a:graphicData>
                </a:graphic>
              </wp:anchor>
            </w:drawing>
          </mc:Choice>
          <mc:Fallback>
            <w:pict>
              <v:rect id="shape_0" ID="Frame1" path="m0,0l-2147483645,0l-2147483645,-2147483646l0,-2147483646xe" fillcolor="white" stroked="t" style="position:absolute;margin-left:-1.4pt;margin-top:4.4pt;width:467.9pt;height:21.2pt;mso-wrap-style:square;v-text-anchor:top">
                <v:fill o:detectmouseclick="t" type="solid" color2="black"/>
                <v:stroke color="#4f81bd" weight="3240" joinstyle="round" endcap="flat"/>
                <v:textbox>
                  <w:txbxContent>
                    <w:p>
                      <w:pPr>
                        <w:pStyle w:val="FrameContents"/>
                        <w:jc w:val="center"/>
                        <w:rPr>
                          <w:rFonts w:ascii="Arial" w:hAnsi="Arial" w:cs="Arial"/>
                          <w:sz w:val="20"/>
                          <w:szCs w:val="20"/>
                          <w:highlight w:val="lightGray"/>
                          <w:lang w:val="pt-PT"/>
                        </w:rPr>
                      </w:pPr>
                      <w:r>
                        <w:rPr>
                          <w:rFonts w:cs="Arial" w:ascii="Arial" w:hAnsi="Arial"/>
                          <w:color w:val="000000"/>
                        </w:rPr>
                        <w:t>Simulaciones numéricas de alto rendimiento</w:t>
                      </w:r>
                      <w:r>
                        <w:rPr>
                          <w:rFonts w:cs="Arial" w:ascii="Arial" w:hAnsi="Arial"/>
                          <w:color w:val="000000"/>
                          <w:sz w:val="20"/>
                          <w:szCs w:val="20"/>
                          <w:lang w:val="pt-PT"/>
                        </w:rPr>
                        <w:t xml:space="preserve"> </w:t>
                      </w:r>
                      <w:r>
                        <w:rPr>
                          <w:rFonts w:cs="Arial" w:ascii="Arial" w:hAnsi="Arial"/>
                          <w:color w:val="000000"/>
                        </w:rPr>
                        <w:t xml:space="preserve">para fenómenos </w:t>
                      </w:r>
                      <w:bookmarkStart w:id="1" w:name="_GoBack"/>
                      <w:r>
                        <w:rPr>
                          <w:rFonts w:cs="Arial" w:ascii="Arial" w:hAnsi="Arial"/>
                          <w:color w:val="000000"/>
                        </w:rPr>
                        <w:t>multifísicos</w:t>
                      </w:r>
                      <w:bookmarkEnd w:id="1"/>
                      <w:r>
                        <w:rPr>
                          <w:rFonts w:cs="Arial" w:ascii="Arial" w:hAnsi="Arial"/>
                          <w:color w:val="000000"/>
                        </w:rPr>
                        <w:t xml:space="preserve"> de fusión</w:t>
                      </w:r>
                    </w:p>
                  </w:txbxContent>
                </v:textbox>
                <w10:wrap type="none"/>
              </v:rect>
            </w:pict>
          </mc:Fallback>
        </mc:AlternateContent>
      </w:r>
    </w:p>
    <w:p>
      <w:pPr>
        <w:pStyle w:val="Normal"/>
        <w:rPr/>
      </w:pPr>
      <w:r>
        <w:rPr/>
      </w:r>
    </w:p>
    <w:p>
      <w:pPr>
        <w:pStyle w:val="Normal"/>
        <w:rPr/>
      </w:pPr>
      <w:r>
        <w:rPr/>
        <mc:AlternateContent>
          <mc:Choice Requires="wps">
            <w:drawing>
              <wp:anchor behindDoc="0" distT="0" distB="0" distL="0" distR="0" simplePos="0" locked="0" layoutInCell="0" allowOverlap="1" relativeHeight="10">
                <wp:simplePos x="0" y="0"/>
                <wp:positionH relativeFrom="column">
                  <wp:posOffset>620395</wp:posOffset>
                </wp:positionH>
                <wp:positionV relativeFrom="paragraph">
                  <wp:posOffset>124460</wp:posOffset>
                </wp:positionV>
                <wp:extent cx="5302250" cy="822325"/>
                <wp:effectExtent l="0" t="0" r="0" b="0"/>
                <wp:wrapNone/>
                <wp:docPr id="3" name="Frame2"/>
                <a:graphic xmlns:a="http://schemas.openxmlformats.org/drawingml/2006/main">
                  <a:graphicData uri="http://schemas.microsoft.com/office/word/2010/wordprocessingShape">
                    <wps:wsp>
                      <wps:cNvSpPr/>
                      <wps:spPr>
                        <a:xfrm>
                          <a:off x="0" y="0"/>
                          <a:ext cx="5301720" cy="821520"/>
                        </a:xfrm>
                        <a:prstGeom prst="rect">
                          <a:avLst/>
                        </a:prstGeom>
                        <a:solidFill>
                          <a:srgbClr val="ffffff"/>
                        </a:solidFill>
                        <a:ln w="635">
                          <a:solidFill>
                            <a:srgbClr val="31849b"/>
                          </a:solidFill>
                          <a:round/>
                        </a:ln>
                      </wps:spPr>
                      <wps:style>
                        <a:lnRef idx="0"/>
                        <a:fillRef idx="0"/>
                        <a:effectRef idx="0"/>
                        <a:fontRef idx="minor"/>
                      </wps:style>
                      <wps:txbx>
                        <w:txbxContent>
                          <w:p>
                            <w:pPr>
                              <w:pStyle w:val="FrameContents"/>
                              <w:rPr>
                                <w:rFonts w:ascii="Arial" w:hAnsi="Arial" w:cs="Arial"/>
                                <w:sz w:val="20"/>
                                <w:szCs w:val="20"/>
                                <w:highlight w:val="lightGray"/>
                              </w:rPr>
                            </w:pPr>
                            <w:r>
                              <w:rPr>
                                <w:rFonts w:cs="Arial" w:ascii="Arial" w:hAnsi="Arial"/>
                                <w:sz w:val="20"/>
                                <w:szCs w:val="20"/>
                                <w:highlight w:val="lightGray"/>
                              </w:rPr>
                              <w:t>Pedro Bonilla</w:t>
                            </w:r>
                          </w:p>
                          <w:p>
                            <w:pPr>
                              <w:pStyle w:val="FrameContents"/>
                              <w:rPr>
                                <w:rFonts w:ascii="Arial" w:hAnsi="Arial" w:cs="Arial"/>
                                <w:sz w:val="20"/>
                                <w:szCs w:val="20"/>
                                <w:highlight w:val="lightGray"/>
                              </w:rPr>
                            </w:pPr>
                            <w:r>
                              <w:rPr>
                                <w:rFonts w:cs="Arial" w:ascii="Arial" w:hAnsi="Arial"/>
                                <w:sz w:val="20"/>
                                <w:szCs w:val="20"/>
                                <w:highlight w:val="lightGray"/>
                              </w:rPr>
                              <w:t>Barcelona Supercomputing Center</w:t>
                            </w:r>
                          </w:p>
                          <w:p>
                            <w:pPr>
                              <w:pStyle w:val="FrameContents"/>
                              <w:rPr>
                                <w:rFonts w:ascii="Arial;sans-serif" w:hAnsi="Arial;sans-serif" w:cs="Arial"/>
                                <w:color w:val="000000"/>
                                <w:sz w:val="20"/>
                                <w:szCs w:val="20"/>
                                <w:highlight w:val="lightGray"/>
                              </w:rPr>
                            </w:pPr>
                            <w:r>
                              <w:rPr>
                                <w:rFonts w:cs="Arial" w:ascii="Arial;sans-serif" w:hAnsi="Arial;sans-serif"/>
                                <w:color w:val="000000"/>
                                <w:sz w:val="20"/>
                                <w:szCs w:val="20"/>
                                <w:highlight w:val="lightGray"/>
                              </w:rPr>
                              <w:t>c/ Jordi Girona, 29 Nexus II, 3D</w:t>
                            </w:r>
                          </w:p>
                          <w:p>
                            <w:pPr>
                              <w:pStyle w:val="FrameContents"/>
                              <w:rPr>
                                <w:rFonts w:ascii="Arial;sans-serif" w:hAnsi="Arial;sans-serif" w:cs="Arial"/>
                                <w:color w:val="000000"/>
                                <w:sz w:val="20"/>
                                <w:szCs w:val="20"/>
                                <w:highlight w:val="lightGray"/>
                              </w:rPr>
                            </w:pPr>
                            <w:r>
                              <w:rPr>
                                <w:rFonts w:cs="Arial" w:ascii="Arial;sans-serif" w:hAnsi="Arial;sans-serif"/>
                                <w:color w:val="000000"/>
                                <w:sz w:val="20"/>
                                <w:szCs w:val="20"/>
                                <w:highlight w:val="lightGray"/>
                              </w:rPr>
                              <w:t>93 413 77 16</w:t>
                            </w:r>
                          </w:p>
                          <w:p>
                            <w:pPr>
                              <w:pStyle w:val="FrameContents"/>
                              <w:rPr>
                                <w:rFonts w:ascii="Arial;sans-serif" w:hAnsi="Arial;sans-serif" w:cs="Arial"/>
                                <w:color w:val="000000"/>
                                <w:sz w:val="20"/>
                                <w:szCs w:val="20"/>
                                <w:highlight w:val="lightGray"/>
                              </w:rPr>
                            </w:pPr>
                            <w:r>
                              <w:rPr>
                                <w:rFonts w:cs="Arial" w:ascii="Arial;sans-serif" w:hAnsi="Arial;sans-serif"/>
                                <w:color w:val="000000"/>
                                <w:sz w:val="20"/>
                                <w:szCs w:val="20"/>
                                <w:highlight w:val="lightGray"/>
                              </w:rPr>
                              <w:t>pedro.bonilla@bsc.es</w:t>
                            </w:r>
                          </w:p>
                        </w:txbxContent>
                      </wps:txbx>
                      <wps:bodyPr>
                        <a:noAutofit/>
                      </wps:bodyPr>
                    </wps:wsp>
                  </a:graphicData>
                </a:graphic>
              </wp:anchor>
            </w:drawing>
          </mc:Choice>
          <mc:Fallback>
            <w:pict>
              <v:rect id="shape_0" ID="Frame2" path="m0,0l-2147483645,0l-2147483645,-2147483646l0,-2147483646xe" fillcolor="white" stroked="t" style="position:absolute;margin-left:48.85pt;margin-top:9.8pt;width:417.4pt;height:64.65pt;mso-wrap-style:square;v-text-anchor:top">
                <v:fill o:detectmouseclick="t" type="solid" color2="black"/>
                <v:stroke color="#31849b" weight="720" joinstyle="round" endcap="flat"/>
                <v:textbox>
                  <w:txbxContent>
                    <w:p>
                      <w:pPr>
                        <w:pStyle w:val="FrameContents"/>
                        <w:rPr>
                          <w:rFonts w:ascii="Arial" w:hAnsi="Arial" w:cs="Arial"/>
                          <w:sz w:val="20"/>
                          <w:szCs w:val="20"/>
                          <w:highlight w:val="lightGray"/>
                        </w:rPr>
                      </w:pPr>
                      <w:r>
                        <w:rPr>
                          <w:rFonts w:cs="Arial" w:ascii="Arial" w:hAnsi="Arial"/>
                          <w:sz w:val="20"/>
                          <w:szCs w:val="20"/>
                          <w:highlight w:val="lightGray"/>
                        </w:rPr>
                        <w:t>Pedro Bonilla</w:t>
                      </w:r>
                    </w:p>
                    <w:p>
                      <w:pPr>
                        <w:pStyle w:val="FrameContents"/>
                        <w:rPr>
                          <w:rFonts w:ascii="Arial" w:hAnsi="Arial" w:cs="Arial"/>
                          <w:sz w:val="20"/>
                          <w:szCs w:val="20"/>
                          <w:highlight w:val="lightGray"/>
                        </w:rPr>
                      </w:pPr>
                      <w:r>
                        <w:rPr>
                          <w:rFonts w:cs="Arial" w:ascii="Arial" w:hAnsi="Arial"/>
                          <w:sz w:val="20"/>
                          <w:szCs w:val="20"/>
                          <w:highlight w:val="lightGray"/>
                        </w:rPr>
                        <w:t>Barcelona Supercomputing Center</w:t>
                      </w:r>
                    </w:p>
                    <w:p>
                      <w:pPr>
                        <w:pStyle w:val="FrameContents"/>
                        <w:rPr>
                          <w:rFonts w:ascii="Arial;sans-serif" w:hAnsi="Arial;sans-serif" w:cs="Arial"/>
                          <w:color w:val="000000"/>
                          <w:sz w:val="20"/>
                          <w:szCs w:val="20"/>
                          <w:highlight w:val="lightGray"/>
                        </w:rPr>
                      </w:pPr>
                      <w:r>
                        <w:rPr>
                          <w:rFonts w:cs="Arial" w:ascii="Arial;sans-serif" w:hAnsi="Arial;sans-serif"/>
                          <w:color w:val="000000"/>
                          <w:sz w:val="20"/>
                          <w:szCs w:val="20"/>
                          <w:highlight w:val="lightGray"/>
                        </w:rPr>
                        <w:t>c/ Jordi Girona, 29 Nexus II, 3D</w:t>
                      </w:r>
                    </w:p>
                    <w:p>
                      <w:pPr>
                        <w:pStyle w:val="FrameContents"/>
                        <w:rPr>
                          <w:rFonts w:ascii="Arial;sans-serif" w:hAnsi="Arial;sans-serif" w:cs="Arial"/>
                          <w:color w:val="000000"/>
                          <w:sz w:val="20"/>
                          <w:szCs w:val="20"/>
                          <w:highlight w:val="lightGray"/>
                        </w:rPr>
                      </w:pPr>
                      <w:r>
                        <w:rPr>
                          <w:rFonts w:cs="Arial" w:ascii="Arial;sans-serif" w:hAnsi="Arial;sans-serif"/>
                          <w:color w:val="000000"/>
                          <w:sz w:val="20"/>
                          <w:szCs w:val="20"/>
                          <w:highlight w:val="lightGray"/>
                        </w:rPr>
                        <w:t>93 413 77 16</w:t>
                      </w:r>
                    </w:p>
                    <w:p>
                      <w:pPr>
                        <w:pStyle w:val="FrameContents"/>
                        <w:rPr>
                          <w:rFonts w:ascii="Arial;sans-serif" w:hAnsi="Arial;sans-serif" w:cs="Arial"/>
                          <w:color w:val="000000"/>
                          <w:sz w:val="20"/>
                          <w:szCs w:val="20"/>
                          <w:highlight w:val="lightGray"/>
                        </w:rPr>
                      </w:pPr>
                      <w:r>
                        <w:rPr>
                          <w:rFonts w:cs="Arial" w:ascii="Arial;sans-serif" w:hAnsi="Arial;sans-serif"/>
                          <w:color w:val="000000"/>
                          <w:sz w:val="20"/>
                          <w:szCs w:val="20"/>
                          <w:highlight w:val="lightGray"/>
                        </w:rPr>
                        <w:t>pedro.bonilla@bsc.es</w:t>
                      </w:r>
                    </w:p>
                  </w:txbxContent>
                </v:textbox>
                <w10:wrap type="none"/>
              </v:rect>
            </w:pict>
          </mc:Fallback>
        </mc:AlternateContent>
      </w:r>
    </w:p>
    <w:p>
      <w:pPr>
        <w:pStyle w:val="Normal"/>
        <w:rPr>
          <w:rFonts w:ascii="Arial" w:hAnsi="Arial" w:cs="Arial"/>
          <w:sz w:val="20"/>
          <w:szCs w:val="20"/>
        </w:rPr>
      </w:pPr>
      <w:r>
        <w:rPr>
          <w:rFonts w:cs="Arial" w:ascii="Arial" w:hAnsi="Arial"/>
          <w:sz w:val="20"/>
          <w:szCs w:val="20"/>
        </w:rPr>
        <w:t>Autor:</w:t>
      </w:r>
    </w:p>
    <w:p>
      <w:pPr>
        <w:pStyle w:val="Normal"/>
        <w:jc w:val="both"/>
        <w:rPr>
          <w:rFonts w:ascii="Arial" w:hAnsi="Arial" w:cs="Arial"/>
          <w:sz w:val="20"/>
          <w:szCs w:val="20"/>
        </w:rPr>
      </w:pPr>
      <w:r>
        <w:rPr>
          <w:rFonts w:cs="Arial" w:ascii="Arial" w:hAnsi="Arial"/>
          <w:sz w:val="20"/>
          <w:szCs w:val="20"/>
        </w:rPr>
        <w:t xml:space="preserve">Empresa: </w:t>
      </w:r>
    </w:p>
    <w:p>
      <w:pPr>
        <w:pStyle w:val="Normal"/>
        <w:jc w:val="both"/>
        <w:rPr>
          <w:rFonts w:ascii="Arial" w:hAnsi="Arial" w:cs="Arial"/>
          <w:sz w:val="20"/>
          <w:szCs w:val="20"/>
        </w:rPr>
      </w:pPr>
      <w:r>
        <w:rPr>
          <w:rFonts w:cs="Arial" w:ascii="Arial" w:hAnsi="Arial"/>
          <w:sz w:val="20"/>
          <w:szCs w:val="20"/>
        </w:rPr>
        <w:t xml:space="preserve">Dirección: </w:t>
      </w:r>
    </w:p>
    <w:p>
      <w:pPr>
        <w:pStyle w:val="Normal"/>
        <w:jc w:val="both"/>
        <w:rPr>
          <w:rFonts w:ascii="Arial" w:hAnsi="Arial" w:cs="Arial"/>
          <w:sz w:val="20"/>
          <w:szCs w:val="20"/>
        </w:rPr>
      </w:pPr>
      <w:r>
        <w:rPr>
          <w:rFonts w:cs="Arial" w:ascii="Arial" w:hAnsi="Arial"/>
          <w:sz w:val="20"/>
          <w:szCs w:val="20"/>
        </w:rPr>
        <w:t>Teléfono:</w:t>
      </w:r>
    </w:p>
    <w:p>
      <w:pPr>
        <w:pStyle w:val="Normal"/>
        <w:jc w:val="both"/>
        <w:rPr>
          <w:rFonts w:ascii="Arial" w:hAnsi="Arial" w:cs="Arial"/>
          <w:sz w:val="20"/>
          <w:szCs w:val="20"/>
        </w:rPr>
      </w:pPr>
      <w:r>
        <w:rPr>
          <w:rFonts w:cs="Arial" w:ascii="Arial" w:hAnsi="Arial"/>
          <w:sz w:val="20"/>
          <w:szCs w:val="20"/>
        </w:rPr>
        <w:t>E-mail:</w:t>
      </w:r>
    </w:p>
    <w:p>
      <w:pPr>
        <w:pStyle w:val="Normal"/>
        <w:jc w:val="both"/>
        <w:rPr>
          <w:b/>
          <w:b/>
          <w:i/>
          <w:i/>
          <w:sz w:val="20"/>
          <w:szCs w:val="20"/>
          <w:u w:val="single"/>
        </w:rPr>
      </w:pPr>
      <w:r>
        <w:rPr>
          <w:b/>
          <w:i/>
          <w:sz w:val="20"/>
          <w:szCs w:val="20"/>
          <w:u w:val="single"/>
        </w:rPr>
      </w:r>
    </w:p>
    <w:p>
      <w:pPr>
        <w:pStyle w:val="Normal"/>
        <w:jc w:val="both"/>
        <w:rPr>
          <w:b/>
          <w:b/>
          <w:i/>
          <w:i/>
          <w:u w:val="single"/>
        </w:rPr>
      </w:pPr>
      <w:r>
        <w:rPr>
          <w:b/>
          <w:i/>
          <w:u w:val="single"/>
        </w:rPr>
        <mc:AlternateContent>
          <mc:Choice Requires="wps">
            <w:drawing>
              <wp:anchor behindDoc="0" distT="0" distB="0" distL="0" distR="0" simplePos="0" locked="0" layoutInCell="0" allowOverlap="1" relativeHeight="11">
                <wp:simplePos x="0" y="0"/>
                <wp:positionH relativeFrom="column">
                  <wp:posOffset>1423670</wp:posOffset>
                </wp:positionH>
                <wp:positionV relativeFrom="paragraph">
                  <wp:posOffset>132080</wp:posOffset>
                </wp:positionV>
                <wp:extent cx="4476750" cy="940435"/>
                <wp:effectExtent l="0" t="0" r="0" b="0"/>
                <wp:wrapNone/>
                <wp:docPr id="5" name="Frame3"/>
                <a:graphic xmlns:a="http://schemas.openxmlformats.org/drawingml/2006/main">
                  <a:graphicData uri="http://schemas.microsoft.com/office/word/2010/wordprocessingShape">
                    <wps:wsp>
                      <wps:cNvSpPr/>
                      <wps:spPr>
                        <a:xfrm>
                          <a:off x="0" y="0"/>
                          <a:ext cx="4476240" cy="939960"/>
                        </a:xfrm>
                        <a:prstGeom prst="rect">
                          <a:avLst/>
                        </a:prstGeom>
                        <a:solidFill>
                          <a:srgbClr val="ffffff"/>
                        </a:solidFill>
                        <a:ln w="635">
                          <a:solidFill>
                            <a:srgbClr val="31849b"/>
                          </a:solidFill>
                          <a:round/>
                        </a:ln>
                      </wps:spPr>
                      <wps:style>
                        <a:lnRef idx="0"/>
                        <a:fillRef idx="0"/>
                        <a:effectRef idx="0"/>
                        <a:fontRef idx="minor"/>
                      </wps:style>
                      <wps:txbx>
                        <w:txbxContent>
                          <w:p>
                            <w:pPr>
                              <w:pStyle w:val="FrameContents"/>
                              <w:rPr>
                                <w:rFonts w:ascii="Arial" w:hAnsi="Arial" w:cs="Arial"/>
                                <w:sz w:val="20"/>
                                <w:szCs w:val="20"/>
                                <w:highlight w:val="lightGray"/>
                                <w:lang w:val="es-ES_tradnl"/>
                              </w:rPr>
                            </w:pPr>
                            <w:r>
                              <w:rPr>
                                <w:rFonts w:cs="Arial" w:ascii="Arial" w:hAnsi="Arial"/>
                                <w:color w:val="000000"/>
                                <w:sz w:val="20"/>
                                <w:szCs w:val="20"/>
                                <w:highlight w:val="lightGray"/>
                                <w:lang w:val="es-ES_tradnl"/>
                              </w:rPr>
                              <w:t>Mervi Mantsinen, José Lorenzo, Olga Ortega,  Xavier Sáez, Jordi Manyer, Oriol Fernandez, Guillaume Houzeaux, Oriol Lehmkuhl, Samuel Gomez, Hadrien Calmet / Barcelona Supercomputing Center (BSC)</w:t>
                            </w:r>
                          </w:p>
                          <w:p>
                            <w:pPr>
                              <w:pStyle w:val="FrameContents"/>
                              <w:rPr>
                                <w:rFonts w:ascii="Arial" w:hAnsi="Arial" w:cs="Arial"/>
                                <w:sz w:val="20"/>
                                <w:szCs w:val="20"/>
                                <w:highlight w:val="lightGray"/>
                                <w:lang w:val="es-ES_tradnl"/>
                              </w:rPr>
                            </w:pPr>
                            <w:r>
                              <w:rPr>
                                <w:rFonts w:cs="Arial" w:ascii="Arial" w:hAnsi="Arial"/>
                                <w:color w:val="000000"/>
                                <w:sz w:val="20"/>
                                <w:szCs w:val="20"/>
                                <w:highlight w:val="lightGray"/>
                                <w:lang w:val="es-ES_tradnl"/>
                              </w:rPr>
                              <w:t>Alejandro Soba / Centro Nacional de Energía Atómica (CNEA), Consejo Nacional de Investigaciones Científicas y Técnicas (CONICET)</w:t>
                            </w:r>
                          </w:p>
                          <w:p>
                            <w:pPr>
                              <w:pStyle w:val="FrameContents"/>
                              <w:rPr>
                                <w:rFonts w:ascii="Arial" w:hAnsi="Arial" w:cs="Arial"/>
                                <w:sz w:val="20"/>
                                <w:szCs w:val="20"/>
                                <w:highlight w:val="lightGray"/>
                                <w:lang w:val="es-ES_tradnl"/>
                              </w:rPr>
                            </w:pPr>
                            <w:r>
                              <w:rPr>
                                <w:rFonts w:cs="Arial" w:ascii="Arial" w:hAnsi="Arial"/>
                                <w:color w:val="000000"/>
                                <w:sz w:val="20"/>
                                <w:szCs w:val="20"/>
                                <w:highlight w:val="lightGray"/>
                                <w:lang w:val="es-ES_tradnl"/>
                              </w:rPr>
                              <w:t>Xavier Granados / Institut de Cièncias de Materials de Barcelona (ICMAB)</w:t>
                            </w:r>
                          </w:p>
                        </w:txbxContent>
                      </wps:txbx>
                      <wps:bodyPr>
                        <a:noAutofit/>
                      </wps:bodyPr>
                    </wps:wsp>
                  </a:graphicData>
                </a:graphic>
              </wp:anchor>
            </w:drawing>
          </mc:Choice>
          <mc:Fallback>
            <w:pict>
              <v:rect id="shape_0" ID="Frame3" path="m0,0l-2147483645,0l-2147483645,-2147483646l0,-2147483646xe" fillcolor="white" stroked="t" style="position:absolute;margin-left:112.1pt;margin-top:10.4pt;width:352.4pt;height:73.95pt;mso-wrap-style:square;v-text-anchor:top">
                <v:fill o:detectmouseclick="t" type="solid" color2="black"/>
                <v:stroke color="#31849b" weight="720" joinstyle="round" endcap="flat"/>
                <v:textbox>
                  <w:txbxContent>
                    <w:p>
                      <w:pPr>
                        <w:pStyle w:val="FrameContents"/>
                        <w:rPr>
                          <w:rFonts w:ascii="Arial" w:hAnsi="Arial" w:cs="Arial"/>
                          <w:sz w:val="20"/>
                          <w:szCs w:val="20"/>
                          <w:highlight w:val="lightGray"/>
                          <w:lang w:val="es-ES_tradnl"/>
                        </w:rPr>
                      </w:pPr>
                      <w:r>
                        <w:rPr>
                          <w:rFonts w:cs="Arial" w:ascii="Arial" w:hAnsi="Arial"/>
                          <w:color w:val="000000"/>
                          <w:sz w:val="20"/>
                          <w:szCs w:val="20"/>
                          <w:highlight w:val="lightGray"/>
                          <w:lang w:val="es-ES_tradnl"/>
                        </w:rPr>
                        <w:t>Mervi Mantsinen, José Lorenzo, Olga Ortega,  Xavier Sáez, Jordi Manyer, Oriol Fernandez, Guillaume Houzeaux, Oriol Lehmkuhl, Samuel Gomez, Hadrien Calmet / Barcelona Supercomputing Center (BSC)</w:t>
                      </w:r>
                    </w:p>
                    <w:p>
                      <w:pPr>
                        <w:pStyle w:val="FrameContents"/>
                        <w:rPr>
                          <w:rFonts w:ascii="Arial" w:hAnsi="Arial" w:cs="Arial"/>
                          <w:sz w:val="20"/>
                          <w:szCs w:val="20"/>
                          <w:highlight w:val="lightGray"/>
                          <w:lang w:val="es-ES_tradnl"/>
                        </w:rPr>
                      </w:pPr>
                      <w:r>
                        <w:rPr>
                          <w:rFonts w:cs="Arial" w:ascii="Arial" w:hAnsi="Arial"/>
                          <w:color w:val="000000"/>
                          <w:sz w:val="20"/>
                          <w:szCs w:val="20"/>
                          <w:highlight w:val="lightGray"/>
                          <w:lang w:val="es-ES_tradnl"/>
                        </w:rPr>
                        <w:t>Alejandro Soba / Centro Nacional de Energía Atómica (CNEA), Consejo Nacional de Investigaciones Científicas y Técnicas (CONICET)</w:t>
                      </w:r>
                    </w:p>
                    <w:p>
                      <w:pPr>
                        <w:pStyle w:val="FrameContents"/>
                        <w:rPr>
                          <w:rFonts w:ascii="Arial" w:hAnsi="Arial" w:cs="Arial"/>
                          <w:sz w:val="20"/>
                          <w:szCs w:val="20"/>
                          <w:highlight w:val="lightGray"/>
                          <w:lang w:val="es-ES_tradnl"/>
                        </w:rPr>
                      </w:pPr>
                      <w:r>
                        <w:rPr>
                          <w:rFonts w:cs="Arial" w:ascii="Arial" w:hAnsi="Arial"/>
                          <w:color w:val="000000"/>
                          <w:sz w:val="20"/>
                          <w:szCs w:val="20"/>
                          <w:highlight w:val="lightGray"/>
                          <w:lang w:val="es-ES_tradnl"/>
                        </w:rPr>
                        <w:t>Xavier Granados / Institut de Cièncias de Materials de Barcelona (ICMAB)</w:t>
                      </w:r>
                    </w:p>
                  </w:txbxContent>
                </v:textbox>
                <w10:wrap type="none"/>
              </v:rect>
            </w:pict>
          </mc:Fallback>
        </mc:AlternateContent>
      </w:r>
    </w:p>
    <w:p>
      <w:pPr>
        <w:pStyle w:val="Normal"/>
        <w:jc w:val="both"/>
        <w:rPr>
          <w:rFonts w:ascii="Arial" w:hAnsi="Arial" w:cs="Arial"/>
          <w:sz w:val="20"/>
          <w:szCs w:val="20"/>
        </w:rPr>
      </w:pPr>
      <w:r>
        <w:rPr>
          <w:rFonts w:cs="Arial" w:ascii="Arial" w:hAnsi="Arial"/>
          <w:sz w:val="20"/>
          <w:szCs w:val="20"/>
        </w:rPr>
        <w:t>Otros autores/Empresas:</w:t>
      </w:r>
    </w:p>
    <w:p>
      <w:pPr>
        <w:pStyle w:val="Normal"/>
        <w:jc w:val="both"/>
        <w:rPr>
          <w:i/>
          <w:i/>
        </w:rPr>
      </w:pPr>
      <w:r>
        <w:rPr>
          <w:i/>
        </w:rPr>
      </w:r>
    </w:p>
    <w:p>
      <w:pPr>
        <w:pStyle w:val="Normal"/>
        <w:jc w:val="both"/>
        <w:rPr>
          <w:i/>
          <w:i/>
        </w:rPr>
      </w:pPr>
      <w:r>
        <w:rPr>
          <w:i/>
        </w:rPr>
      </w:r>
    </w:p>
    <w:p>
      <w:pPr>
        <w:pStyle w:val="Normal"/>
        <w:jc w:val="both"/>
        <w:rPr>
          <w:b/>
          <w:b/>
          <w:i/>
          <w:i/>
          <w:u w:val="single"/>
        </w:rPr>
      </w:pPr>
      <w:r>
        <w:rPr>
          <w:b/>
          <w:i/>
          <w:u w:val="single"/>
        </w:rPr>
      </w:r>
    </w:p>
    <w:p>
      <w:pPr>
        <w:pStyle w:val="Normal"/>
        <w:jc w:val="both"/>
        <w:rPr>
          <w:b/>
          <w:b/>
          <w:i/>
          <w:i/>
          <w:u w:val="single"/>
        </w:rPr>
      </w:pPr>
      <w:r>
        <w:rPr>
          <w:b/>
          <w:i/>
          <w:u w:val="single"/>
        </w:rPr>
      </w:r>
    </w:p>
    <w:p>
      <w:pPr>
        <w:pStyle w:val="Normal"/>
        <w:jc w:val="both"/>
        <w:rPr>
          <w:b/>
          <w:b/>
          <w:i/>
          <w:i/>
          <w:u w:val="single"/>
        </w:rPr>
      </w:pPr>
      <w:r>
        <w:rPr>
          <w:b/>
          <w:i/>
          <w:u w:val="single"/>
        </w:rPr>
      </w:r>
    </w:p>
    <w:p>
      <w:pPr>
        <w:pStyle w:val="Normal"/>
        <w:spacing w:before="120" w:after="0"/>
        <w:jc w:val="both"/>
        <w:rPr>
          <w:b/>
          <w:b/>
          <w:i/>
          <w:i/>
          <w:u w:val="single"/>
        </w:rPr>
      </w:pPr>
      <w:r>
        <w:rPr>
          <w:b/>
          <w:i/>
          <w:u w:val="single"/>
        </w:rPr>
        <w:t>TEXTO DE LA SINOPSIS</w:t>
      </w:r>
    </w:p>
    <w:p>
      <w:pPr>
        <w:pStyle w:val="Normal"/>
        <w:spacing w:before="120" w:after="0"/>
        <w:jc w:val="both"/>
        <w:rPr>
          <w:rFonts w:ascii="Arial" w:hAnsi="Arial" w:cs="Arial"/>
          <w:sz w:val="20"/>
          <w:szCs w:val="20"/>
        </w:rPr>
      </w:pPr>
      <w:r>
        <w:rPr>
          <w:rFonts w:cs="Arial" w:ascii="Arial" w:hAnsi="Arial"/>
          <w:sz w:val="20"/>
          <w:szCs w:val="20"/>
          <w:highlight w:val="lightGray"/>
        </w:rPr>
        <w:t>La sinopsis debe estar en formato Word, fuente Arial, tamaño 10, sin activar el control de cambios y, con un texto como máximo de 300 palabras, distribuido según la estructura de estos tres párrafos:</w:t>
      </w:r>
    </w:p>
    <w:p>
      <w:pPr>
        <w:pStyle w:val="Normal"/>
        <w:spacing w:before="120" w:after="0"/>
        <w:jc w:val="both"/>
        <w:rPr>
          <w:u w:val="single"/>
        </w:rPr>
      </w:pPr>
      <w:r>
        <w:rPr>
          <w:u w:val="single"/>
        </w:rPr>
      </w:r>
    </w:p>
    <w:p>
      <w:pPr>
        <w:pStyle w:val="Normal"/>
        <w:spacing w:before="120" w:after="0"/>
        <w:jc w:val="both"/>
        <w:rPr>
          <w:b/>
          <w:b/>
          <w:i/>
          <w:i/>
          <w:u w:val="single"/>
        </w:rPr>
      </w:pPr>
      <w:r>
        <w:rPr>
          <w:b/>
          <w:i/>
          <w:u w:val="single"/>
        </w:rPr>
        <mc:AlternateContent>
          <mc:Choice Requires="wps">
            <w:drawing>
              <wp:anchor behindDoc="0" distT="0" distB="0" distL="0" distR="0" simplePos="0" locked="0" layoutInCell="0" allowOverlap="1" relativeHeight="5">
                <wp:simplePos x="0" y="0"/>
                <wp:positionH relativeFrom="column">
                  <wp:posOffset>-19050</wp:posOffset>
                </wp:positionH>
                <wp:positionV relativeFrom="paragraph">
                  <wp:posOffset>24130</wp:posOffset>
                </wp:positionV>
                <wp:extent cx="5969635" cy="4337685"/>
                <wp:effectExtent l="0" t="0" r="0" b="0"/>
                <wp:wrapNone/>
                <wp:docPr id="7" name="Frame4"/>
                <a:graphic xmlns:a="http://schemas.openxmlformats.org/drawingml/2006/main">
                  <a:graphicData uri="http://schemas.microsoft.com/office/word/2010/wordprocessingShape">
                    <wps:wsp>
                      <wps:cNvSpPr/>
                      <wps:spPr>
                        <a:xfrm>
                          <a:off x="0" y="0"/>
                          <a:ext cx="5969160" cy="4336920"/>
                        </a:xfrm>
                        <a:prstGeom prst="rect">
                          <a:avLst/>
                        </a:prstGeom>
                        <a:solidFill>
                          <a:srgbClr val="ffffff"/>
                        </a:solidFill>
                        <a:ln w="3175">
                          <a:solidFill>
                            <a:srgbClr val="4f81bd"/>
                          </a:solidFill>
                          <a:round/>
                        </a:ln>
                      </wps:spPr>
                      <wps:style>
                        <a:lnRef idx="0"/>
                        <a:fillRef idx="0"/>
                        <a:effectRef idx="0"/>
                        <a:fontRef idx="minor"/>
                      </wps:style>
                      <wps:txbx>
                        <w:txbxContent>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r>
                          </w:p>
                        </w:txbxContent>
                      </wps:txbx>
                      <wps:bodyPr>
                        <a:noAutofit/>
                      </wps:bodyPr>
                    </wps:wsp>
                  </a:graphicData>
                </a:graphic>
              </wp:anchor>
            </w:drawing>
          </mc:Choice>
          <mc:Fallback>
            <w:pict>
              <v:rect id="shape_0" ID="Frame4" path="m0,0l-2147483645,0l-2147483645,-2147483646l0,-2147483646xe" fillcolor="white" stroked="t" style="position:absolute;margin-left:-1.5pt;margin-top:1.9pt;width:469.95pt;height:341.45pt;mso-wrap-style:square;v-text-anchor:top">
                <v:fill o:detectmouseclick="t" type="solid" color2="black"/>
                <v:stroke color="#4f81bd" weight="3240" joinstyle="round" endcap="flat"/>
                <v:textbox>
                  <w:txbxContent>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color w:val="000000"/>
                        </w:rPr>
                      </w:r>
                    </w:p>
                    <w:p>
                      <w:pPr>
                        <w:pStyle w:val="FrameContents"/>
                        <w:rPr>
                          <w:color w:val="000000"/>
                        </w:rPr>
                      </w:pPr>
                      <w:r>
                        <w:rPr/>
                      </w:r>
                    </w:p>
                  </w:txbxContent>
                </v:textbox>
                <w10:wrap type="none"/>
              </v:rect>
            </w:pict>
          </mc:Fallback>
        </mc:AlternateContent>
        <mc:AlternateContent>
          <mc:Choice Requires="wps">
            <w:drawing>
              <wp:anchor behindDoc="0" distT="0" distB="0" distL="0" distR="0" simplePos="0" locked="0" layoutInCell="0" allowOverlap="1" relativeHeight="6">
                <wp:simplePos x="0" y="0"/>
                <wp:positionH relativeFrom="column">
                  <wp:posOffset>57150</wp:posOffset>
                </wp:positionH>
                <wp:positionV relativeFrom="paragraph">
                  <wp:posOffset>86360</wp:posOffset>
                </wp:positionV>
                <wp:extent cx="5865495" cy="1105535"/>
                <wp:effectExtent l="0" t="0" r="0" b="0"/>
                <wp:wrapNone/>
                <wp:docPr id="9" name="Frame5"/>
                <a:graphic xmlns:a="http://schemas.openxmlformats.org/drawingml/2006/main">
                  <a:graphicData uri="http://schemas.microsoft.com/office/word/2010/wordprocessingShape">
                    <wps:wsp>
                      <wps:cNvSpPr/>
                      <wps:spPr>
                        <a:xfrm>
                          <a:off x="0" y="0"/>
                          <a:ext cx="5864760" cy="1104840"/>
                        </a:xfrm>
                        <a:prstGeom prst="rect">
                          <a:avLst/>
                        </a:prstGeom>
                        <a:solidFill>
                          <a:srgbClr val="ffffff"/>
                        </a:solidFill>
                        <a:ln w="12700">
                          <a:solidFill>
                            <a:srgbClr val="4f81bd"/>
                          </a:solidFill>
                          <a:prstDash val="dash"/>
                          <a:round/>
                        </a:ln>
                      </wps:spPr>
                      <wps:style>
                        <a:lnRef idx="0"/>
                        <a:fillRef idx="0"/>
                        <a:effectRef idx="0"/>
                        <a:fontRef idx="minor"/>
                      </wps:style>
                      <wps:txbx>
                        <w:txbxContent>
                          <w:p>
                            <w:pPr>
                              <w:pStyle w:val="FrameContents"/>
                              <w:jc w:val="both"/>
                              <w:rPr>
                                <w:sz w:val="20"/>
                                <w:szCs w:val="20"/>
                              </w:rPr>
                            </w:pPr>
                            <w:r>
                              <w:rPr>
                                <w:rFonts w:cs="Arial" w:ascii="Arial" w:hAnsi="Arial"/>
                                <w:color w:val="000000"/>
                                <w:sz w:val="20"/>
                                <w:szCs w:val="20"/>
                              </w:rPr>
                              <w:t xml:space="preserve">El presente trabajo expone avances en el campo de la simulación con códigos numéricos y computación de alto rendimiento (HPC) aplicado a múltiples fenómenos presentes en reactores de fusión. Se enmarca en el proyecto FusionCAT (www.fusioncat.es) cofinanciado por la Unión Europea y </w:t>
                            </w:r>
                            <w:r>
                              <w:rPr>
                                <w:rFonts w:eastAsia="Times New Roman" w:cs="Arial" w:ascii="Arial" w:hAnsi="Arial"/>
                                <w:color w:val="000000"/>
                                <w:kern w:val="0"/>
                                <w:sz w:val="20"/>
                                <w:szCs w:val="20"/>
                                <w:lang w:val="es-ES" w:eastAsia="es-ES" w:bidi="ar-SA"/>
                              </w:rPr>
                              <w:t>la</w:t>
                            </w:r>
                            <w:r>
                              <w:rPr>
                                <w:rFonts w:cs="Arial" w:ascii="Arial" w:hAnsi="Arial"/>
                                <w:color w:val="000000"/>
                                <w:sz w:val="20"/>
                                <w:szCs w:val="20"/>
                              </w:rPr>
                              <w:t xml:space="preserve"> Generalitat de Cataluña cuyo objetivo es la transferencia de tecnología y conocimiento en la comunidades industrial y científica para capacitar al sector para la fusión nuclear. Este sector se prevé esencial en la producción de energía de manera sostenible y segura en el futuro.</w:t>
                            </w:r>
                          </w:p>
                        </w:txbxContent>
                      </wps:txbx>
                      <wps:bodyPr>
                        <a:noAutofit/>
                      </wps:bodyPr>
                    </wps:wsp>
                  </a:graphicData>
                </a:graphic>
              </wp:anchor>
            </w:drawing>
          </mc:Choice>
          <mc:Fallback>
            <w:pict>
              <v:rect id="shape_0" ID="Frame5" path="m0,0l-2147483645,0l-2147483645,-2147483646l0,-2147483646xe" fillcolor="white" stroked="t" style="position:absolute;margin-left:4.5pt;margin-top:6.8pt;width:461.75pt;height:86.95pt;mso-wrap-style:square;v-text-anchor:top">
                <v:fill o:detectmouseclick="t" type="solid" color2="black"/>
                <v:stroke color="#4f81bd" weight="12600" dashstyle="dash" joinstyle="round" endcap="flat"/>
                <v:textbox>
                  <w:txbxContent>
                    <w:p>
                      <w:pPr>
                        <w:pStyle w:val="FrameContents"/>
                        <w:jc w:val="both"/>
                        <w:rPr>
                          <w:sz w:val="20"/>
                          <w:szCs w:val="20"/>
                        </w:rPr>
                      </w:pPr>
                      <w:r>
                        <w:rPr>
                          <w:rFonts w:cs="Arial" w:ascii="Arial" w:hAnsi="Arial"/>
                          <w:color w:val="000000"/>
                          <w:sz w:val="20"/>
                          <w:szCs w:val="20"/>
                        </w:rPr>
                        <w:t xml:space="preserve">El presente trabajo expone avances en el campo de la simulación con códigos numéricos y computación de alto rendimiento (HPC) aplicado a múltiples fenómenos presentes en reactores de fusión. Se enmarca en el proyecto FusionCAT (www.fusioncat.es) cofinanciado por la Unión Europea y </w:t>
                      </w:r>
                      <w:r>
                        <w:rPr>
                          <w:rFonts w:eastAsia="Times New Roman" w:cs="Arial" w:ascii="Arial" w:hAnsi="Arial"/>
                          <w:color w:val="000000"/>
                          <w:kern w:val="0"/>
                          <w:sz w:val="20"/>
                          <w:szCs w:val="20"/>
                          <w:lang w:val="es-ES" w:eastAsia="es-ES" w:bidi="ar-SA"/>
                        </w:rPr>
                        <w:t>la</w:t>
                      </w:r>
                      <w:r>
                        <w:rPr>
                          <w:rFonts w:cs="Arial" w:ascii="Arial" w:hAnsi="Arial"/>
                          <w:color w:val="000000"/>
                          <w:sz w:val="20"/>
                          <w:szCs w:val="20"/>
                        </w:rPr>
                        <w:t xml:space="preserve"> Generalitat de Cataluña cuyo objetivo es la transferencia de tecnología y conocimiento en la comunidades industrial y científica para capacitar al sector para la fusión nuclear. Este sector se prevé esencial en la producción de energía de manera sostenible y segura en el futuro.</w:t>
                      </w:r>
                    </w:p>
                  </w:txbxContent>
                </v:textbox>
                <w10:wrap type="none"/>
              </v:rect>
            </w:pict>
          </mc:Fallback>
        </mc:AlternateContent>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mc:AlternateContent>
          <mc:Choice Requires="wps">
            <w:drawing>
              <wp:anchor behindDoc="0" distT="0" distB="0" distL="0" distR="0" simplePos="0" locked="0" layoutInCell="0" allowOverlap="1" relativeHeight="7">
                <wp:simplePos x="0" y="0"/>
                <wp:positionH relativeFrom="column">
                  <wp:posOffset>40005</wp:posOffset>
                </wp:positionH>
                <wp:positionV relativeFrom="paragraph">
                  <wp:posOffset>102235</wp:posOffset>
                </wp:positionV>
                <wp:extent cx="5865495" cy="1059180"/>
                <wp:effectExtent l="0" t="0" r="0" b="0"/>
                <wp:wrapNone/>
                <wp:docPr id="11" name="Frame6"/>
                <a:graphic xmlns:a="http://schemas.openxmlformats.org/drawingml/2006/main">
                  <a:graphicData uri="http://schemas.microsoft.com/office/word/2010/wordprocessingShape">
                    <wps:wsp>
                      <wps:cNvSpPr/>
                      <wps:spPr>
                        <a:xfrm>
                          <a:off x="0" y="0"/>
                          <a:ext cx="5864760" cy="1058400"/>
                        </a:xfrm>
                        <a:prstGeom prst="rect">
                          <a:avLst/>
                        </a:prstGeom>
                        <a:solidFill>
                          <a:srgbClr val="ffffff"/>
                        </a:solidFill>
                        <a:ln w="12700">
                          <a:solidFill>
                            <a:srgbClr val="4f81bd"/>
                          </a:solidFill>
                          <a:prstDash val="dash"/>
                          <a:round/>
                        </a:ln>
                      </wps:spPr>
                      <wps:style>
                        <a:lnRef idx="0"/>
                        <a:fillRef idx="0"/>
                        <a:effectRef idx="0"/>
                        <a:fontRef idx="minor"/>
                      </wps:style>
                      <wps:txbx>
                        <w:txbxContent>
                          <w:p>
                            <w:pPr>
                              <w:pStyle w:val="FrameContents"/>
                              <w:jc w:val="both"/>
                              <w:rPr>
                                <w:rFonts w:ascii="Arial" w:hAnsi="Arial" w:cs="Arial"/>
                                <w:sz w:val="20"/>
                                <w:szCs w:val="20"/>
                              </w:rPr>
                            </w:pPr>
                            <w:r>
                              <w:rPr>
                                <w:rFonts w:cs="Arial" w:ascii="Arial" w:hAnsi="Arial"/>
                                <w:color w:val="000000"/>
                                <w:sz w:val="20"/>
                                <w:szCs w:val="20"/>
                                <w:highlight w:val="lightGray"/>
                              </w:rPr>
                              <w:t>El objetivo de este documento es demostrar las capacidades del software HPC de mecánica computacional multifísica Alya [</w:t>
                            </w:r>
                            <w:r>
                              <w:rPr>
                                <w:rFonts w:cs="Arial" w:ascii="Arial" w:hAnsi="Arial"/>
                                <w:b w:val="false"/>
                                <w:i w:val="false"/>
                                <w:caps w:val="false"/>
                                <w:smallCaps w:val="false"/>
                                <w:color w:val="000000"/>
                                <w:spacing w:val="0"/>
                                <w:sz w:val="20"/>
                                <w:szCs w:val="20"/>
                                <w:highlight w:val="lightGray"/>
                              </w:rPr>
                              <w:t>Vazquez et al. (2016).</w:t>
                            </w:r>
                            <w:r>
                              <w:rPr>
                                <w:rFonts w:cs="Arial" w:ascii="Arial" w:hAnsi="Arial"/>
                                <w:b w:val="false"/>
                                <w:i/>
                                <w:iCs/>
                                <w:caps w:val="false"/>
                                <w:smallCaps w:val="false"/>
                                <w:color w:val="000000"/>
                                <w:spacing w:val="0"/>
                                <w:sz w:val="20"/>
                                <w:szCs w:val="20"/>
                                <w:highlight w:val="lightGray"/>
                              </w:rPr>
                              <w:t xml:space="preserve"> J Comput Sci,</w:t>
                            </w:r>
                            <w:r>
                              <w:rPr>
                                <w:rFonts w:cs="Arial" w:ascii="Arial" w:hAnsi="Arial"/>
                                <w:b w:val="false"/>
                                <w:i w:val="false"/>
                                <w:caps w:val="false"/>
                                <w:smallCaps w:val="false"/>
                                <w:color w:val="000000"/>
                                <w:spacing w:val="0"/>
                                <w:sz w:val="20"/>
                                <w:szCs w:val="20"/>
                                <w:highlight w:val="lightGray"/>
                              </w:rPr>
                              <w:t xml:space="preserve"> 14, 15-27]</w:t>
                            </w:r>
                            <w:r>
                              <w:rPr>
                                <w:rFonts w:cs="Arial" w:ascii="Arial" w:hAnsi="Arial"/>
                                <w:color w:val="000000"/>
                                <w:sz w:val="20"/>
                                <w:szCs w:val="20"/>
                                <w:highlight w:val="lightGray"/>
                              </w:rPr>
                              <w:t xml:space="preserve">. El principal beneficio de emplear Alya es la optimización de los recursos de supercomputación, y su diseño por módulos de física que se acoplan compartiendo información, sin necesidad de conversores de datos. Se presentan los módulos de magnetismo, hidráulica, térmica y transporte de neutrones. </w:t>
                            </w:r>
                          </w:p>
                          <w:p>
                            <w:pPr>
                              <w:pStyle w:val="FrameContents"/>
                              <w:jc w:val="both"/>
                              <w:rPr>
                                <w:sz w:val="20"/>
                                <w:szCs w:val="20"/>
                              </w:rPr>
                            </w:pPr>
                            <w:r>
                              <w:rPr>
                                <w:rFonts w:cs="Arial" w:ascii="Arial" w:hAnsi="Arial"/>
                                <w:color w:val="000000"/>
                                <w:sz w:val="20"/>
                                <w:szCs w:val="20"/>
                              </w:rPr>
                              <w:t xml:space="preserve"> </w:t>
                            </w:r>
                            <w:r>
                              <w:rPr>
                                <w:color w:val="000000"/>
                                <w:sz w:val="20"/>
                                <w:szCs w:val="20"/>
                              </w:rPr>
                              <w:t xml:space="preserve">  </w:t>
                            </w:r>
                          </w:p>
                        </w:txbxContent>
                      </wps:txbx>
                      <wps:bodyPr>
                        <a:noAutofit/>
                      </wps:bodyPr>
                    </wps:wsp>
                  </a:graphicData>
                </a:graphic>
              </wp:anchor>
            </w:drawing>
          </mc:Choice>
          <mc:Fallback>
            <w:pict>
              <v:rect id="shape_0" ID="Frame6" path="m0,0l-2147483645,0l-2147483645,-2147483646l0,-2147483646xe" fillcolor="white" stroked="t" style="position:absolute;margin-left:3.15pt;margin-top:8.05pt;width:461.75pt;height:83.3pt;mso-wrap-style:square;v-text-anchor:top">
                <v:fill o:detectmouseclick="t" type="solid" color2="black"/>
                <v:stroke color="#4f81bd" weight="12600" dashstyle="dash" joinstyle="round" endcap="flat"/>
                <v:textbox>
                  <w:txbxContent>
                    <w:p>
                      <w:pPr>
                        <w:pStyle w:val="FrameContents"/>
                        <w:jc w:val="both"/>
                        <w:rPr>
                          <w:rFonts w:ascii="Arial" w:hAnsi="Arial" w:cs="Arial"/>
                          <w:sz w:val="20"/>
                          <w:szCs w:val="20"/>
                        </w:rPr>
                      </w:pPr>
                      <w:r>
                        <w:rPr>
                          <w:rFonts w:cs="Arial" w:ascii="Arial" w:hAnsi="Arial"/>
                          <w:color w:val="000000"/>
                          <w:sz w:val="20"/>
                          <w:szCs w:val="20"/>
                          <w:highlight w:val="lightGray"/>
                        </w:rPr>
                        <w:t>El objetivo de este documento es demostrar las capacidades del software HPC de mecánica computacional multifísica Alya [</w:t>
                      </w:r>
                      <w:r>
                        <w:rPr>
                          <w:rFonts w:cs="Arial" w:ascii="Arial" w:hAnsi="Arial"/>
                          <w:b w:val="false"/>
                          <w:i w:val="false"/>
                          <w:caps w:val="false"/>
                          <w:smallCaps w:val="false"/>
                          <w:color w:val="000000"/>
                          <w:spacing w:val="0"/>
                          <w:sz w:val="20"/>
                          <w:szCs w:val="20"/>
                          <w:highlight w:val="lightGray"/>
                        </w:rPr>
                        <w:t>Vazquez et al. (2016).</w:t>
                      </w:r>
                      <w:r>
                        <w:rPr>
                          <w:rFonts w:cs="Arial" w:ascii="Arial" w:hAnsi="Arial"/>
                          <w:b w:val="false"/>
                          <w:i/>
                          <w:iCs/>
                          <w:caps w:val="false"/>
                          <w:smallCaps w:val="false"/>
                          <w:color w:val="000000"/>
                          <w:spacing w:val="0"/>
                          <w:sz w:val="20"/>
                          <w:szCs w:val="20"/>
                          <w:highlight w:val="lightGray"/>
                        </w:rPr>
                        <w:t xml:space="preserve"> J Comput Sci,</w:t>
                      </w:r>
                      <w:r>
                        <w:rPr>
                          <w:rFonts w:cs="Arial" w:ascii="Arial" w:hAnsi="Arial"/>
                          <w:b w:val="false"/>
                          <w:i w:val="false"/>
                          <w:caps w:val="false"/>
                          <w:smallCaps w:val="false"/>
                          <w:color w:val="000000"/>
                          <w:spacing w:val="0"/>
                          <w:sz w:val="20"/>
                          <w:szCs w:val="20"/>
                          <w:highlight w:val="lightGray"/>
                        </w:rPr>
                        <w:t xml:space="preserve"> 14, 15-27]</w:t>
                      </w:r>
                      <w:r>
                        <w:rPr>
                          <w:rFonts w:cs="Arial" w:ascii="Arial" w:hAnsi="Arial"/>
                          <w:color w:val="000000"/>
                          <w:sz w:val="20"/>
                          <w:szCs w:val="20"/>
                          <w:highlight w:val="lightGray"/>
                        </w:rPr>
                        <w:t xml:space="preserve">. El principal beneficio de emplear Alya es la optimización de los recursos de supercomputación, y su diseño por módulos de física que se acoplan compartiendo información, sin necesidad de conversores de datos. Se presentan los módulos de magnetismo, hidráulica, térmica y transporte de neutrones. </w:t>
                      </w:r>
                    </w:p>
                    <w:p>
                      <w:pPr>
                        <w:pStyle w:val="FrameContents"/>
                        <w:jc w:val="both"/>
                        <w:rPr>
                          <w:sz w:val="20"/>
                          <w:szCs w:val="20"/>
                        </w:rPr>
                      </w:pPr>
                      <w:r>
                        <w:rPr>
                          <w:rFonts w:cs="Arial" w:ascii="Arial" w:hAnsi="Arial"/>
                          <w:color w:val="000000"/>
                          <w:sz w:val="20"/>
                          <w:szCs w:val="20"/>
                        </w:rPr>
                        <w:t xml:space="preserve"> </w:t>
                      </w:r>
                      <w:r>
                        <w:rPr>
                          <w:color w:val="000000"/>
                          <w:sz w:val="20"/>
                          <w:szCs w:val="20"/>
                        </w:rPr>
                        <w:t xml:space="preserve">  </w:t>
                      </w:r>
                    </w:p>
                  </w:txbxContent>
                </v:textbox>
                <w10:wrap type="none"/>
              </v:rect>
            </w:pict>
          </mc:Fallback>
        </mc:AlternateContent>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mc:AlternateContent>
          <mc:Choice Requires="wps">
            <w:drawing>
              <wp:anchor behindDoc="0" distT="0" distB="0" distL="0" distR="0" simplePos="0" locked="0" layoutInCell="0" allowOverlap="1" relativeHeight="8">
                <wp:simplePos x="0" y="0"/>
                <wp:positionH relativeFrom="column">
                  <wp:posOffset>40005</wp:posOffset>
                </wp:positionH>
                <wp:positionV relativeFrom="paragraph">
                  <wp:posOffset>224790</wp:posOffset>
                </wp:positionV>
                <wp:extent cx="5860415" cy="1826260"/>
                <wp:effectExtent l="0" t="0" r="0" b="0"/>
                <wp:wrapNone/>
                <wp:docPr id="13" name="Frame7"/>
                <a:graphic xmlns:a="http://schemas.openxmlformats.org/drawingml/2006/main">
                  <a:graphicData uri="http://schemas.microsoft.com/office/word/2010/wordprocessingShape">
                    <wps:wsp>
                      <wps:cNvSpPr/>
                      <wps:spPr>
                        <a:xfrm>
                          <a:off x="0" y="0"/>
                          <a:ext cx="5859720" cy="1825560"/>
                        </a:xfrm>
                        <a:prstGeom prst="rect">
                          <a:avLst/>
                        </a:prstGeom>
                        <a:solidFill>
                          <a:srgbClr val="ffffff"/>
                        </a:solidFill>
                        <a:ln w="12700">
                          <a:solidFill>
                            <a:srgbClr val="4f81bd"/>
                          </a:solidFill>
                          <a:prstDash val="dash"/>
                          <a:round/>
                        </a:ln>
                      </wps:spPr>
                      <wps:style>
                        <a:lnRef idx="0"/>
                        <a:fillRef idx="0"/>
                        <a:effectRef idx="0"/>
                        <a:fontRef idx="minor"/>
                      </wps:style>
                      <wps:txbx>
                        <w:txbxContent>
                          <w:p>
                            <w:pPr>
                              <w:pStyle w:val="FrameContents"/>
                              <w:jc w:val="both"/>
                              <w:rPr>
                                <w:color w:val="000000"/>
                              </w:rPr>
                            </w:pPr>
                            <w:r>
                              <w:rPr>
                                <w:rFonts w:cs="Arial" w:ascii="Arial" w:hAnsi="Arial"/>
                                <w:color w:val="000000"/>
                                <w:sz w:val="20"/>
                                <w:szCs w:val="20"/>
                                <w:highlight w:val="lightGray"/>
                              </w:rPr>
                              <w:t xml:space="preserve">Primero se describen los avances en el desarrollo del módulo MAGNET para la simulación electromagnética de superconductores de alta temperatura (HTS), que permitirá el análisis de cables HTS para imanes de fusión. Para ello, resuelve la formulación H de las ecuaciones de Maxwell en modelos 3D no lineales que resultarían inasequibles sin el empleo de técnicas HPC. Por su parte, los módulos NASTIN y TEMPER resuelven la ecuación de Navier-Strokes para flujo incompresible y la del calor respectivamente. Se presentan resultados para la simulación de la disipación de calor en la primera pared de ITER, con la fuente de calor volumétrica como dato. Para ello se ha empleado la aproximación de Boussinesq. Por último, el módulo de NEUTRO resuelve la ecuación de transporte de neutrones de forma determinista usando elementos finitos para discretizar el espacio, una aproximación multigrupo para la energía y el método de ordenadas discretas para la variable angular [Soba et al. (2021)  </w:t>
                            </w:r>
                            <w:r>
                              <w:rPr>
                                <w:rFonts w:cs="Arial" w:ascii="Arial" w:hAnsi="Arial"/>
                                <w:i/>
                                <w:iCs/>
                                <w:color w:val="000000"/>
                                <w:sz w:val="20"/>
                                <w:szCs w:val="20"/>
                                <w:highlight w:val="lightGray"/>
                              </w:rPr>
                              <w:t>Fusion Eng. Des</w:t>
                            </w:r>
                            <w:r>
                              <w:rPr>
                                <w:rFonts w:cs="Arial" w:ascii="Arial" w:hAnsi="Arial"/>
                                <w:color w:val="000000"/>
                                <w:sz w:val="20"/>
                                <w:szCs w:val="20"/>
                                <w:highlight w:val="lightGray"/>
                              </w:rPr>
                              <w:t xml:space="preserve">, 169, 112497].  </w:t>
                            </w:r>
                          </w:p>
                        </w:txbxContent>
                      </wps:txbx>
                      <wps:bodyPr>
                        <a:noAutofit/>
                      </wps:bodyPr>
                    </wps:wsp>
                  </a:graphicData>
                </a:graphic>
              </wp:anchor>
            </w:drawing>
          </mc:Choice>
          <mc:Fallback>
            <w:pict>
              <v:rect id="shape_0" ID="Frame7" path="m0,0l-2147483645,0l-2147483645,-2147483646l0,-2147483646xe" fillcolor="white" stroked="t" style="position:absolute;margin-left:3.15pt;margin-top:17.7pt;width:461.35pt;height:143.7pt;mso-wrap-style:square;v-text-anchor:top">
                <v:fill o:detectmouseclick="t" type="solid" color2="black"/>
                <v:stroke color="#4f81bd" weight="12600" dashstyle="dash" joinstyle="round" endcap="flat"/>
                <v:textbox>
                  <w:txbxContent>
                    <w:p>
                      <w:pPr>
                        <w:pStyle w:val="FrameContents"/>
                        <w:jc w:val="both"/>
                        <w:rPr>
                          <w:color w:val="000000"/>
                        </w:rPr>
                      </w:pPr>
                      <w:r>
                        <w:rPr>
                          <w:rFonts w:cs="Arial" w:ascii="Arial" w:hAnsi="Arial"/>
                          <w:color w:val="000000"/>
                          <w:sz w:val="20"/>
                          <w:szCs w:val="20"/>
                          <w:highlight w:val="lightGray"/>
                        </w:rPr>
                        <w:t xml:space="preserve">Primero se describen los avances en el desarrollo del módulo MAGNET para la simulación electromagnética de superconductores de alta temperatura (HTS), que permitirá el análisis de cables HTS para imanes de fusión. Para ello, resuelve la formulación H de las ecuaciones de Maxwell en modelos 3D no lineales que resultarían inasequibles sin el empleo de técnicas HPC. Por su parte, los módulos NASTIN y TEMPER resuelven la ecuación de Navier-Strokes para flujo incompresible y la del calor respectivamente. Se presentan resultados para la simulación de la disipación de calor en la primera pared de ITER, con la fuente de calor volumétrica como dato. Para ello se ha empleado la aproximación de Boussinesq. Por último, el módulo de NEUTRO resuelve la ecuación de transporte de neutrones de forma determinista usando elementos finitos para discretizar el espacio, una aproximación multigrupo para la energía y el método de ordenadas discretas para la variable angular [Soba et al. (2021)  </w:t>
                      </w:r>
                      <w:r>
                        <w:rPr>
                          <w:rFonts w:cs="Arial" w:ascii="Arial" w:hAnsi="Arial"/>
                          <w:i/>
                          <w:iCs/>
                          <w:color w:val="000000"/>
                          <w:sz w:val="20"/>
                          <w:szCs w:val="20"/>
                          <w:highlight w:val="lightGray"/>
                        </w:rPr>
                        <w:t>Fusion Eng. Des</w:t>
                      </w:r>
                      <w:r>
                        <w:rPr>
                          <w:rFonts w:cs="Arial" w:ascii="Arial" w:hAnsi="Arial"/>
                          <w:color w:val="000000"/>
                          <w:sz w:val="20"/>
                          <w:szCs w:val="20"/>
                          <w:highlight w:val="lightGray"/>
                        </w:rPr>
                        <w:t xml:space="preserve">, 169, 112497].  </w:t>
                      </w:r>
                    </w:p>
                  </w:txbxContent>
                </v:textbox>
                <w10:wrap type="none"/>
              </v:rect>
            </w:pict>
          </mc:Fallback>
        </mc:AlternateContent>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spacing w:before="120" w:after="0"/>
        <w:jc w:val="both"/>
        <w:rPr/>
      </w:pPr>
      <w:r>
        <w:rPr/>
      </w:r>
    </w:p>
    <w:p>
      <w:pPr>
        <w:pStyle w:val="Normal"/>
        <w:tabs>
          <w:tab w:val="clear" w:pos="708"/>
          <w:tab w:val="left" w:pos="142" w:leader="none"/>
        </w:tabs>
        <w:spacing w:before="120" w:after="0"/>
        <w:jc w:val="both"/>
        <w:rPr>
          <w:sz w:val="16"/>
          <w:szCs w:val="16"/>
        </w:rPr>
      </w:pPr>
      <w:r>
        <w:rPr/>
      </w:r>
    </w:p>
    <w:sectPr>
      <w:headerReference w:type="default" r:id="rId2"/>
      <w:footerReference w:type="default" r:id="rId3"/>
      <w:type w:val="nextPage"/>
      <w:pgSz w:w="11906" w:h="16838"/>
      <w:pgMar w:left="1418" w:right="1134" w:header="0" w:top="2055"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erif">
    <w:altName w:val="Times New Roman"/>
    <w:charset w:val="01"/>
    <w:family w:val="swiss"/>
    <w:pitch w:val="variable"/>
  </w:font>
  <w:font w:name="Tahoma">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Arial">
    <w:altName w:val="sans-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cs="Arial" w:ascii="Arial" w:hAnsi="Arial"/>
        <w:sz w:val="14"/>
        <w:szCs w:val="14"/>
      </w:rPr>
      <w:t xml:space="preserve">46ª </w:t>
    </w:r>
    <w:r>
      <w:rPr>
        <w:rFonts w:cs="Arial" w:ascii="Arial" w:hAnsi="Arial"/>
        <w:color w:val="231F20"/>
        <w:sz w:val="14"/>
        <w:szCs w:val="14"/>
      </w:rPr>
      <w:t>Reunión Anual de la SNE. 6-8 octubre 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p>
    <w:pPr>
      <w:pStyle w:val="Header"/>
      <w:jc w:val="center"/>
      <w:rPr/>
    </w:pPr>
    <w:r>
      <w:rPr/>
      <w:drawing>
        <wp:anchor behindDoc="1" distT="0" distB="0" distL="0" distR="114300" simplePos="0" locked="0" layoutInCell="0" allowOverlap="1" relativeHeight="2">
          <wp:simplePos x="0" y="0"/>
          <wp:positionH relativeFrom="margin">
            <wp:align>left</wp:align>
          </wp:positionH>
          <wp:positionV relativeFrom="paragraph">
            <wp:posOffset>34290</wp:posOffset>
          </wp:positionV>
          <wp:extent cx="942975" cy="962025"/>
          <wp:effectExtent l="0" t="0" r="0" b="0"/>
          <wp:wrapSquare wrapText="bothSides"/>
          <wp:docPr id="15" name="Imagen 1" descr="Z:\46 RA GRANADA\LOGO\Lema\SNE ESP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 descr="Z:\46 RA GRANADA\LOGO\Lema\SNE ESP COLOR.png"/>
                  <pic:cNvPicPr>
                    <a:picLocks noChangeAspect="1" noChangeArrowheads="1"/>
                  </pic:cNvPicPr>
                </pic:nvPicPr>
                <pic:blipFill>
                  <a:blip r:embed="rId1"/>
                  <a:stretch>
                    <a:fillRect/>
                  </a:stretch>
                </pic:blipFill>
                <pic:spPr bwMode="auto">
                  <a:xfrm>
                    <a:off x="0" y="0"/>
                    <a:ext cx="942975" cy="962025"/>
                  </a:xfrm>
                  <a:prstGeom prst="rect">
                    <a:avLst/>
                  </a:prstGeom>
                </pic:spPr>
              </pic:pic>
            </a:graphicData>
          </a:graphic>
        </wp:anchor>
      </w:drawing>
      <w:drawing>
        <wp:anchor behindDoc="1" distT="0" distB="0" distL="114300" distR="114300" simplePos="0" locked="0" layoutInCell="0" allowOverlap="1" relativeHeight="3">
          <wp:simplePos x="0" y="0"/>
          <wp:positionH relativeFrom="column">
            <wp:posOffset>4186555</wp:posOffset>
          </wp:positionH>
          <wp:positionV relativeFrom="paragraph">
            <wp:posOffset>159385</wp:posOffset>
          </wp:positionV>
          <wp:extent cx="1849120" cy="838200"/>
          <wp:effectExtent l="0" t="0" r="0" b="0"/>
          <wp:wrapSquare wrapText="bothSides"/>
          <wp:docPr id="16" name="Picture 3" descr="C:\Users\arros\Downloads\46RA-Granada-Hz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C:\Users\arros\Downloads\46RA-Granada-Hzt.png"/>
                  <pic:cNvPicPr>
                    <a:picLocks noChangeAspect="1" noChangeArrowheads="1"/>
                  </pic:cNvPicPr>
                </pic:nvPicPr>
                <pic:blipFill>
                  <a:blip r:embed="rId2"/>
                  <a:stretch>
                    <a:fillRect/>
                  </a:stretch>
                </pic:blipFill>
                <pic:spPr bwMode="auto">
                  <a:xfrm>
                    <a:off x="0" y="0"/>
                    <a:ext cx="1849120" cy="838200"/>
                  </a:xfrm>
                  <a:prstGeom prst="rect">
                    <a:avLst/>
                  </a:prstGeom>
                </pic:spPr>
              </pic:pic>
            </a:graphicData>
          </a:graphic>
        </wp:anchor>
      </w:drawing>
    </w:r>
  </w:p>
  <w:p>
    <w:pPr>
      <w:pStyle w:val="Header"/>
      <w:jc w:val="center"/>
      <w:rPr/>
    </w:pPr>
    <w:r>
      <w:rPr/>
    </w:r>
  </w:p>
  <w:p>
    <w:pPr>
      <w:pStyle w:val="Header"/>
      <w:jc w:val="center"/>
      <w:rPr/>
    </w:pPr>
    <w:r>
      <w:rPr/>
      <w:t xml:space="preserve"> </w:t>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2f03"/>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Heading1">
    <w:name w:val="Heading 1"/>
    <w:basedOn w:val="Heading"/>
    <w:next w:val="TextBody"/>
    <w:qFormat/>
    <w:pPr>
      <w:spacing w:before="240" w:after="120"/>
      <w:outlineLvl w:val="0"/>
    </w:pPr>
    <w:rPr>
      <w:rFonts w:ascii="Liberation Serif" w:hAnsi="Liberation Serif" w:eastAsia="DejaVu Sans" w:cs="DejaVu Sans"/>
      <w:b/>
      <w:bCs/>
      <w:sz w:val="48"/>
      <w:szCs w:val="48"/>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DejaVu Sans" w:cs="DejaVu Sans"/>
      <w:b/>
      <w:bCs/>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93514f"/>
    <w:rPr>
      <w:rFonts w:ascii="Times New Roman" w:hAnsi="Times New Roman" w:eastAsia="Times New Roman"/>
      <w:sz w:val="24"/>
      <w:szCs w:val="24"/>
    </w:rPr>
  </w:style>
  <w:style w:type="character" w:styleId="FooterChar" w:customStyle="1">
    <w:name w:val="Footer Char"/>
    <w:link w:val="Footer"/>
    <w:uiPriority w:val="99"/>
    <w:qFormat/>
    <w:rsid w:val="0093514f"/>
    <w:rPr>
      <w:rFonts w:ascii="Times New Roman" w:hAnsi="Times New Roman" w:eastAsia="Times New Roman"/>
      <w:sz w:val="24"/>
      <w:szCs w:val="24"/>
    </w:rPr>
  </w:style>
  <w:style w:type="character" w:styleId="BalloonTextChar" w:customStyle="1">
    <w:name w:val="Balloon Text Char"/>
    <w:link w:val="BalloonText"/>
    <w:uiPriority w:val="99"/>
    <w:semiHidden/>
    <w:qFormat/>
    <w:rsid w:val="0093514f"/>
    <w:rPr>
      <w:rFonts w:ascii="Tahoma" w:hAnsi="Tahoma" w:eastAsia="Times New Roman" w:cs="Tahoma"/>
      <w:sz w:val="16"/>
      <w:szCs w:val="16"/>
    </w:rPr>
  </w:style>
  <w:style w:type="character" w:styleId="Annotationreference">
    <w:name w:val="annotation reference"/>
    <w:uiPriority w:val="99"/>
    <w:semiHidden/>
    <w:unhideWhenUsed/>
    <w:qFormat/>
    <w:rsid w:val="006f4b32"/>
    <w:rPr>
      <w:sz w:val="18"/>
      <w:szCs w:val="18"/>
    </w:rPr>
  </w:style>
  <w:style w:type="character" w:styleId="CommentTextChar" w:customStyle="1">
    <w:name w:val="Comment Text Char"/>
    <w:link w:val="CommentText"/>
    <w:uiPriority w:val="99"/>
    <w:semiHidden/>
    <w:qFormat/>
    <w:rsid w:val="006f4b32"/>
    <w:rPr>
      <w:rFonts w:ascii="Times New Roman" w:hAnsi="Times New Roman" w:eastAsia="Times New Roman"/>
      <w:sz w:val="24"/>
      <w:szCs w:val="24"/>
    </w:rPr>
  </w:style>
  <w:style w:type="character" w:styleId="CommentSubjectChar" w:customStyle="1">
    <w:name w:val="Comment Subject Char"/>
    <w:link w:val="CommentSubject"/>
    <w:uiPriority w:val="99"/>
    <w:semiHidden/>
    <w:qFormat/>
    <w:rsid w:val="006f4b32"/>
    <w:rPr>
      <w:rFonts w:ascii="Times New Roman" w:hAnsi="Times New Roman" w:eastAsia="Times New Roman"/>
      <w:b/>
      <w:bCs/>
      <w:sz w:val="24"/>
      <w:szCs w:val="24"/>
    </w:rPr>
  </w:style>
  <w:style w:type="character" w:styleId="InternetLink">
    <w:name w:val="Hyper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customStyle="1">
    <w:name w:val="Index"/>
    <w:basedOn w:val="Normal"/>
    <w:qFormat/>
    <w:pPr>
      <w:suppressLineNumbers/>
    </w:pPr>
    <w:rPr>
      <w:rFonts w:cs="Droid Sans Devanagari"/>
    </w:rPr>
  </w:style>
  <w:style w:type="paragraph" w:styleId="Caption1">
    <w:name w:val="caption"/>
    <w:basedOn w:val="Normal"/>
    <w:qFormat/>
    <w:pPr>
      <w:suppressLineNumbers/>
      <w:spacing w:before="120" w:after="120"/>
    </w:pPr>
    <w:rPr>
      <w:rFonts w:cs="Droid Sans Devanagari"/>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93514f"/>
    <w:pPr>
      <w:tabs>
        <w:tab w:val="clear" w:pos="708"/>
        <w:tab w:val="center" w:pos="4252" w:leader="none"/>
        <w:tab w:val="right" w:pos="8504" w:leader="none"/>
      </w:tabs>
    </w:pPr>
    <w:rPr/>
  </w:style>
  <w:style w:type="paragraph" w:styleId="Footer">
    <w:name w:val="Footer"/>
    <w:basedOn w:val="Normal"/>
    <w:link w:val="FooterChar"/>
    <w:uiPriority w:val="99"/>
    <w:unhideWhenUsed/>
    <w:rsid w:val="0093514f"/>
    <w:pPr>
      <w:tabs>
        <w:tab w:val="clear" w:pos="708"/>
        <w:tab w:val="center" w:pos="4252" w:leader="none"/>
        <w:tab w:val="right" w:pos="8504" w:leader="none"/>
      </w:tabs>
    </w:pPr>
    <w:rPr/>
  </w:style>
  <w:style w:type="paragraph" w:styleId="BalloonText">
    <w:name w:val="Balloon Text"/>
    <w:basedOn w:val="Normal"/>
    <w:link w:val="BalloonTextChar"/>
    <w:uiPriority w:val="99"/>
    <w:semiHidden/>
    <w:unhideWhenUsed/>
    <w:qFormat/>
    <w:rsid w:val="0093514f"/>
    <w:pPr/>
    <w:rPr>
      <w:rFonts w:ascii="Tahoma" w:hAnsi="Tahoma"/>
      <w:sz w:val="16"/>
      <w:szCs w:val="16"/>
    </w:rPr>
  </w:style>
  <w:style w:type="paragraph" w:styleId="Annotationtext">
    <w:name w:val="annotation text"/>
    <w:basedOn w:val="Normal"/>
    <w:link w:val="CommentTextChar"/>
    <w:uiPriority w:val="99"/>
    <w:semiHidden/>
    <w:unhideWhenUsed/>
    <w:qFormat/>
    <w:rsid w:val="006f4b32"/>
    <w:pPr/>
    <w:rPr/>
  </w:style>
  <w:style w:type="paragraph" w:styleId="Annotationsubject">
    <w:name w:val="annotation subject"/>
    <w:basedOn w:val="Annotationtext"/>
    <w:next w:val="Annotationtext"/>
    <w:link w:val="CommentSubjectChar"/>
    <w:uiPriority w:val="99"/>
    <w:semiHidden/>
    <w:unhideWhenUsed/>
    <w:qFormat/>
    <w:rsid w:val="006f4b32"/>
    <w:pPr/>
    <w:rPr>
      <w:b/>
      <w:bCs/>
    </w:rPr>
  </w:style>
  <w:style w:type="paragraph" w:styleId="Listamedia2nfasis21" w:customStyle="1">
    <w:name w:val="Lista media 2 - Énfasis 21"/>
    <w:uiPriority w:val="71"/>
    <w:qFormat/>
    <w:rsid w:val="006f4b32"/>
    <w:pPr>
      <w:widowControl/>
      <w:suppressAutoHyphens w:val="tru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FrameContents" w:customStyle="1">
    <w:name w:val="Frame Contents"/>
    <w:basedOn w:val="Normal"/>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E49B-64C6-4782-97A7-649AFA8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Application>LibreOffice/7.1.1.2$Linux_X86_64 LibreOffice_project/10$Build-2</Application>
  <AppVersion>15.0000</AppVersion>
  <Pages>1</Pages>
  <Words>455</Words>
  <Characters>2545</Characters>
  <CharactersWithSpaces>2988</CharactersWithSpaces>
  <Paragraphs>25</Paragraphs>
  <Company>Endesa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2021-06-10T17:38:00Z</dcterms:created>
  <dc:creator>Angel Garcia Bueno</dc:creator>
  <dc:description/>
  <dc:language>en-GB</dc:language>
  <cp:lastModifiedBy/>
  <cp:lastPrinted>2019-03-28T15:02:00Z</cp:lastPrinted>
  <dcterms:modified xsi:type="dcterms:W3CDTF">2021-06-11T13:40:54Z</dcterms:modified>
  <cp:revision>14</cp:revision>
  <dc:subject>SNE</dc:subject>
  <dc:title>Plantilla Sinopsis</dc:title>
</cp:coreProperties>
</file>

<file path=docProps/custom.xml><?xml version="1.0" encoding="utf-8"?>
<Properties xmlns="http://schemas.openxmlformats.org/officeDocument/2006/custom-properties" xmlns:vt="http://schemas.openxmlformats.org/officeDocument/2006/docPropsVTypes"/>
</file>